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7547" w:rsidTr="00FC7547">
        <w:trPr>
          <w:trHeight w:val="1971"/>
        </w:trPr>
        <w:tc>
          <w:tcPr>
            <w:tcW w:w="4606" w:type="dxa"/>
            <w:vAlign w:val="center"/>
          </w:tcPr>
          <w:p w:rsidR="00FC7547" w:rsidRDefault="00FC7547" w:rsidP="00FC7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99DC87" wp14:editId="16ADF5F2">
                  <wp:extent cx="1609725" cy="1054105"/>
                  <wp:effectExtent l="0" t="0" r="0" b="0"/>
                  <wp:docPr id="1" name="Image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86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C7547" w:rsidRDefault="00FC7547" w:rsidP="00FC7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C102A8" wp14:editId="498FB448">
                  <wp:extent cx="1857375" cy="923925"/>
                  <wp:effectExtent l="0" t="0" r="9525" b="9525"/>
                  <wp:docPr id="2" name="Image 2" descr="J:\COM\Public\nouveau_logo_amf_mai_2015\Identité AMF 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OM\Public\nouveau_logo_amf_mai_2015\Identité AMF 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75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C25" w:rsidRDefault="00F26C25" w:rsidP="007164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spacing w:after="0" w:line="276" w:lineRule="auto"/>
        <w:ind w:left="284"/>
        <w:jc w:val="center"/>
        <w:outlineLvl w:val="1"/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</w:pPr>
    </w:p>
    <w:p w:rsidR="0071646E" w:rsidRDefault="00FC7547" w:rsidP="007164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spacing w:after="0" w:line="276" w:lineRule="auto"/>
        <w:ind w:left="284"/>
        <w:jc w:val="center"/>
        <w:outlineLvl w:val="1"/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</w:pPr>
      <w:r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>Commission santé en présence de l’ensemble des Directeurs généraux des ARS</w:t>
      </w:r>
      <w:r w:rsidR="00932060"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br/>
      </w:r>
      <w:r w:rsidR="00551DDC"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br/>
      </w:r>
      <w:r w:rsidR="00E9041F"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>Vendredi 21 juin</w:t>
      </w:r>
      <w:r w:rsidR="00C81020"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 xml:space="preserve"> 2019</w:t>
      </w:r>
      <w:r w:rsidR="00551DDC"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 xml:space="preserve"> </w:t>
      </w:r>
      <w:r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>14h00 – 16h30</w:t>
      </w:r>
    </w:p>
    <w:p w:rsidR="0071646E" w:rsidRDefault="00932060" w:rsidP="007164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spacing w:after="0" w:line="276" w:lineRule="auto"/>
        <w:ind w:left="284"/>
        <w:jc w:val="center"/>
        <w:outlineLvl w:val="1"/>
        <w:rPr>
          <w:rFonts w:ascii="Arial Narrow" w:eastAsia="Times New Roman" w:hAnsi="Arial Narrow" w:cs="Arial"/>
          <w:b/>
          <w:bCs/>
          <w:color w:val="FFFFFF"/>
          <w:sz w:val="26"/>
          <w:szCs w:val="26"/>
          <w:u w:val="single"/>
        </w:rPr>
      </w:pPr>
      <w:r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br/>
      </w:r>
      <w:r>
        <w:rPr>
          <w:rFonts w:ascii="Arial Narrow" w:eastAsia="Times New Roman" w:hAnsi="Arial Narrow" w:cs="Arial"/>
          <w:b/>
          <w:bCs/>
          <w:color w:val="FFFFFF"/>
          <w:sz w:val="26"/>
          <w:szCs w:val="26"/>
          <w:u w:val="single"/>
        </w:rPr>
        <w:t>Salle : Auditorium</w:t>
      </w:r>
      <w:r w:rsidR="00FC7547">
        <w:rPr>
          <w:rFonts w:ascii="Arial Narrow" w:eastAsia="Times New Roman" w:hAnsi="Arial Narrow" w:cs="Arial"/>
          <w:b/>
          <w:bCs/>
          <w:color w:val="FFFFFF"/>
          <w:sz w:val="26"/>
          <w:szCs w:val="26"/>
          <w:u w:val="single"/>
        </w:rPr>
        <w:t xml:space="preserve"> de l’AMF situé au 41 quai d’Orsay, 75007 Paris </w:t>
      </w:r>
    </w:p>
    <w:p w:rsidR="0071646E" w:rsidRDefault="0071646E" w:rsidP="007164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spacing w:after="0" w:line="276" w:lineRule="auto"/>
        <w:ind w:left="284"/>
        <w:jc w:val="center"/>
        <w:outlineLvl w:val="1"/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</w:pPr>
    </w:p>
    <w:p w:rsidR="00932060" w:rsidRDefault="0071646E" w:rsidP="007164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spacing w:after="0" w:line="276" w:lineRule="auto"/>
        <w:ind w:left="284"/>
        <w:jc w:val="center"/>
        <w:outlineLvl w:val="1"/>
        <w:rPr>
          <w:rFonts w:ascii="Arial Narrow" w:eastAsia="Times New Roman" w:hAnsi="Arial Narrow" w:cs="Calibri"/>
          <w:b/>
          <w:bCs/>
          <w:lang w:eastAsia="fr-FR"/>
        </w:rPr>
      </w:pPr>
      <w:r>
        <w:rPr>
          <w:rFonts w:ascii="Arial Narrow" w:eastAsia="Times New Roman" w:hAnsi="Arial Narrow" w:cs="Arial"/>
          <w:b/>
          <w:bCs/>
          <w:color w:val="FFFFFF"/>
          <w:sz w:val="26"/>
          <w:szCs w:val="26"/>
        </w:rPr>
        <w:t>Ordre du jour</w:t>
      </w:r>
      <w:r w:rsidR="00932060">
        <w:rPr>
          <w:rFonts w:ascii="Arial Narrow" w:eastAsia="Times New Roman" w:hAnsi="Arial Narrow" w:cs="Arial"/>
          <w:b/>
          <w:bCs/>
          <w:color w:val="FFFFFF"/>
          <w:sz w:val="26"/>
          <w:szCs w:val="26"/>
          <w:u w:val="single"/>
        </w:rPr>
        <w:br/>
      </w:r>
    </w:p>
    <w:p w:rsidR="00FC7547" w:rsidRDefault="00FC7547" w:rsidP="00932060">
      <w:pPr>
        <w:spacing w:after="0" w:line="240" w:lineRule="auto"/>
        <w:ind w:right="284"/>
        <w:jc w:val="both"/>
        <w:rPr>
          <w:rFonts w:ascii="Arial Narrow" w:eastAsia="Times New Roman" w:hAnsi="Arial Narrow" w:cs="Calibri"/>
          <w:bCs/>
          <w:u w:val="single"/>
          <w:lang w:eastAsia="fr-FR"/>
        </w:rPr>
      </w:pPr>
    </w:p>
    <w:p w:rsidR="001D13F1" w:rsidRDefault="001D13F1" w:rsidP="00D6464C">
      <w:pPr>
        <w:keepNext/>
        <w:keepLines/>
        <w:spacing w:after="0" w:line="240" w:lineRule="auto"/>
        <w:jc w:val="both"/>
        <w:outlineLvl w:val="0"/>
        <w:rPr>
          <w:rFonts w:ascii="Arial Narrow" w:eastAsia="Times New Roman" w:hAnsi="Arial Narrow"/>
          <w:bCs/>
          <w:sz w:val="24"/>
          <w:szCs w:val="28"/>
          <w:lang w:eastAsia="fr-FR"/>
        </w:rPr>
      </w:pPr>
    </w:p>
    <w:p w:rsidR="006A3062" w:rsidRPr="006A3062" w:rsidRDefault="006A3062" w:rsidP="00D6464C">
      <w:pPr>
        <w:keepNext/>
        <w:keepLines/>
        <w:spacing w:after="0" w:line="240" w:lineRule="auto"/>
        <w:jc w:val="both"/>
        <w:outlineLvl w:val="0"/>
        <w:rPr>
          <w:rFonts w:ascii="Arial Narrow" w:eastAsia="Times New Roman" w:hAnsi="Arial Narrow"/>
          <w:bCs/>
          <w:sz w:val="24"/>
          <w:szCs w:val="28"/>
          <w:lang w:eastAsia="fr-FR"/>
        </w:rPr>
      </w:pPr>
      <w:r w:rsidRPr="006A3062">
        <w:rPr>
          <w:rFonts w:ascii="Arial Narrow" w:eastAsia="Times New Roman" w:hAnsi="Arial Narrow"/>
          <w:bCs/>
          <w:sz w:val="24"/>
          <w:szCs w:val="28"/>
          <w:lang w:eastAsia="fr-FR"/>
        </w:rPr>
        <w:t>En présence de Madame Sabine Fourcade, Secrétaire générale des ministères chargés des affaires so</w:t>
      </w:r>
      <w:r w:rsidR="00D6464C">
        <w:rPr>
          <w:rFonts w:ascii="Arial Narrow" w:eastAsia="Times New Roman" w:hAnsi="Arial Narrow"/>
          <w:bCs/>
          <w:sz w:val="24"/>
          <w:szCs w:val="28"/>
          <w:lang w:eastAsia="fr-FR"/>
        </w:rPr>
        <w:t xml:space="preserve">ciales et </w:t>
      </w:r>
      <w:r w:rsidR="001D13F1">
        <w:rPr>
          <w:rFonts w:ascii="Arial Narrow" w:eastAsia="Times New Roman" w:hAnsi="Arial Narrow"/>
          <w:bCs/>
          <w:sz w:val="24"/>
          <w:szCs w:val="28"/>
          <w:lang w:eastAsia="fr-FR"/>
        </w:rPr>
        <w:t xml:space="preserve">de </w:t>
      </w:r>
      <w:r w:rsidR="00D6464C">
        <w:rPr>
          <w:rFonts w:ascii="Arial Narrow" w:eastAsia="Times New Roman" w:hAnsi="Arial Narrow"/>
          <w:bCs/>
          <w:sz w:val="24"/>
          <w:szCs w:val="28"/>
          <w:lang w:eastAsia="fr-FR"/>
        </w:rPr>
        <w:t xml:space="preserve">Monsieur Eric </w:t>
      </w:r>
      <w:proofErr w:type="spellStart"/>
      <w:r w:rsidR="00D6464C">
        <w:rPr>
          <w:rFonts w:ascii="Arial Narrow" w:eastAsia="Times New Roman" w:hAnsi="Arial Narrow"/>
          <w:bCs/>
          <w:sz w:val="24"/>
          <w:szCs w:val="28"/>
          <w:lang w:eastAsia="fr-FR"/>
        </w:rPr>
        <w:t>Ginesy</w:t>
      </w:r>
      <w:proofErr w:type="spellEnd"/>
      <w:r w:rsidR="00D6464C">
        <w:rPr>
          <w:rFonts w:ascii="Arial Narrow" w:eastAsia="Times New Roman" w:hAnsi="Arial Narrow"/>
          <w:bCs/>
          <w:sz w:val="24"/>
          <w:szCs w:val="28"/>
          <w:lang w:eastAsia="fr-FR"/>
        </w:rPr>
        <w:t xml:space="preserve">, </w:t>
      </w:r>
      <w:r w:rsidR="00F04CF9">
        <w:rPr>
          <w:rFonts w:ascii="Arial Narrow" w:eastAsia="Times New Roman" w:hAnsi="Arial Narrow"/>
          <w:bCs/>
          <w:sz w:val="24"/>
          <w:szCs w:val="28"/>
          <w:lang w:eastAsia="fr-FR"/>
        </w:rPr>
        <w:t>Chef de service du Pôle Santé-ARS</w:t>
      </w:r>
      <w:bookmarkStart w:id="0" w:name="_GoBack"/>
      <w:bookmarkEnd w:id="0"/>
    </w:p>
    <w:p w:rsidR="006A3062" w:rsidRDefault="006A3062" w:rsidP="00932060">
      <w:pPr>
        <w:keepNext/>
        <w:keepLines/>
        <w:spacing w:after="0" w:line="240" w:lineRule="auto"/>
        <w:outlineLvl w:val="0"/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</w:pPr>
    </w:p>
    <w:p w:rsidR="00420C45" w:rsidRPr="00142170" w:rsidRDefault="00420C45" w:rsidP="00142170">
      <w:pPr>
        <w:spacing w:after="0" w:line="240" w:lineRule="auto"/>
        <w:contextualSpacing/>
        <w:jc w:val="both"/>
        <w:rPr>
          <w:rFonts w:ascii="Arial Narrow" w:eastAsia="Times New Roman" w:hAnsi="Arial Narrow"/>
          <w:i/>
          <w:sz w:val="24"/>
          <w:szCs w:val="24"/>
          <w:lang w:eastAsia="fr-FR"/>
        </w:rPr>
      </w:pPr>
    </w:p>
    <w:p w:rsidR="00420C45" w:rsidRPr="00F26C25" w:rsidRDefault="00D6464C" w:rsidP="007164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</w:pPr>
      <w:r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>Relations entre les élus et les agences régionales de santé</w:t>
      </w:r>
    </w:p>
    <w:p w:rsidR="00420C45" w:rsidRPr="00142170" w:rsidRDefault="00EE0265" w:rsidP="00142170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- </w:t>
      </w:r>
      <w:r w:rsidR="00D6464C">
        <w:rPr>
          <w:rFonts w:ascii="Arial Narrow" w:hAnsi="Arial Narrow"/>
          <w:i/>
          <w:sz w:val="24"/>
          <w:szCs w:val="24"/>
        </w:rPr>
        <w:t>Focus sur les évolutions prévues par le projet de loi relatif</w:t>
      </w:r>
      <w:r w:rsidR="0050590F">
        <w:rPr>
          <w:rFonts w:ascii="Arial Narrow" w:hAnsi="Arial Narrow"/>
          <w:i/>
          <w:sz w:val="24"/>
          <w:szCs w:val="24"/>
        </w:rPr>
        <w:t xml:space="preserve"> à</w:t>
      </w:r>
      <w:r w:rsidR="00D6464C">
        <w:rPr>
          <w:rFonts w:ascii="Arial Narrow" w:hAnsi="Arial Narrow"/>
          <w:i/>
          <w:sz w:val="24"/>
          <w:szCs w:val="24"/>
        </w:rPr>
        <w:t xml:space="preserve"> </w:t>
      </w:r>
      <w:r w:rsidR="00D6464C" w:rsidRPr="00D6464C">
        <w:rPr>
          <w:rFonts w:ascii="Arial Narrow" w:hAnsi="Arial Narrow"/>
          <w:i/>
          <w:sz w:val="24"/>
          <w:szCs w:val="24"/>
        </w:rPr>
        <w:t>l’organisation et à la transformation du système de santé</w:t>
      </w:r>
    </w:p>
    <w:p w:rsidR="00AC78BA" w:rsidRDefault="00AC78BA" w:rsidP="00142170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</w:p>
    <w:p w:rsidR="00E9041F" w:rsidRPr="00142170" w:rsidRDefault="00E9041F" w:rsidP="00142170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</w:p>
    <w:p w:rsidR="00C81020" w:rsidRPr="00F26C25" w:rsidRDefault="0071646E" w:rsidP="00F26C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  <w:sz w:val="28"/>
          <w:szCs w:val="24"/>
        </w:rPr>
      </w:pPr>
      <w:r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>Projet de loi relatif</w:t>
      </w:r>
      <w:r w:rsidR="0050590F"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 xml:space="preserve"> à</w:t>
      </w:r>
      <w:r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 xml:space="preserve"> l’organisation et à la transformation du système de santé</w:t>
      </w:r>
    </w:p>
    <w:p w:rsidR="0071646E" w:rsidRDefault="0071646E" w:rsidP="0071646E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71646E" w:rsidRDefault="0071646E" w:rsidP="0071646E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  <w:r w:rsidRPr="00E016A2"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  <w:t>Médecine hospitalière</w:t>
      </w:r>
    </w:p>
    <w:p w:rsidR="004D15BA" w:rsidRPr="004D15BA" w:rsidRDefault="004D15BA" w:rsidP="00E016A2">
      <w:pPr>
        <w:spacing w:after="0"/>
        <w:jc w:val="both"/>
        <w:rPr>
          <w:rFonts w:ascii="Arial Narrow" w:eastAsia="Times New Roman" w:hAnsi="Arial Narrow"/>
          <w:i/>
          <w:sz w:val="24"/>
          <w:szCs w:val="24"/>
          <w:lang w:eastAsia="fr-FR"/>
        </w:rPr>
      </w:pPr>
      <w:r w:rsidRPr="004D15BA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- </w:t>
      </w:r>
      <w:r w:rsidR="00AC206E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Qu’attendre de la réforme des hôpitaux de proximité ? </w:t>
      </w:r>
      <w:r w:rsidR="00F90E4C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</w:t>
      </w:r>
    </w:p>
    <w:p w:rsidR="00E016A2" w:rsidRPr="00913775" w:rsidRDefault="004D15BA" w:rsidP="00E016A2">
      <w:pPr>
        <w:spacing w:after="0"/>
        <w:jc w:val="both"/>
        <w:rPr>
          <w:rFonts w:ascii="Arial Narrow" w:eastAsia="Times New Roman" w:hAnsi="Arial Narrow"/>
          <w:i/>
          <w:color w:val="2E74B5" w:themeColor="accent1" w:themeShade="BF"/>
          <w:sz w:val="24"/>
          <w:szCs w:val="24"/>
          <w:lang w:eastAsia="fr-FR"/>
        </w:rPr>
      </w:pPr>
      <w:r w:rsidRPr="00913775">
        <w:rPr>
          <w:rFonts w:ascii="Arial Narrow" w:eastAsia="Times New Roman" w:hAnsi="Arial Narrow"/>
          <w:i/>
          <w:sz w:val="24"/>
          <w:szCs w:val="24"/>
          <w:lang w:eastAsia="fr-FR"/>
        </w:rPr>
        <w:t>- G</w:t>
      </w:r>
      <w:r w:rsidR="00501F42" w:rsidRPr="0091377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roupements hospitaliers de </w:t>
      </w:r>
      <w:r w:rsidR="00EE0265" w:rsidRPr="00913775">
        <w:rPr>
          <w:rFonts w:ascii="Arial Narrow" w:eastAsia="Times New Roman" w:hAnsi="Arial Narrow"/>
          <w:i/>
          <w:sz w:val="24"/>
          <w:szCs w:val="24"/>
          <w:lang w:eastAsia="fr-FR"/>
        </w:rPr>
        <w:t>territoire</w:t>
      </w:r>
      <w:r w:rsidR="00913775" w:rsidRPr="0091377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 : </w:t>
      </w:r>
      <w:r w:rsidR="00913775">
        <w:rPr>
          <w:rFonts w:ascii="Arial Narrow" w:eastAsia="Times New Roman" w:hAnsi="Arial Narrow"/>
          <w:i/>
          <w:sz w:val="24"/>
          <w:szCs w:val="24"/>
          <w:lang w:eastAsia="fr-FR"/>
        </w:rPr>
        <w:t>comment</w:t>
      </w:r>
      <w:r w:rsidR="005E4C08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faire de cet outil, au sein duquel les élus locaux n’ont aujourd’hui que peu de pouvoir</w:t>
      </w:r>
      <w:r w:rsidR="00913775">
        <w:rPr>
          <w:rFonts w:ascii="Arial Narrow" w:eastAsia="Times New Roman" w:hAnsi="Arial Narrow"/>
          <w:i/>
          <w:sz w:val="24"/>
          <w:szCs w:val="24"/>
          <w:lang w:eastAsia="fr-FR"/>
        </w:rPr>
        <w:t>,</w:t>
      </w:r>
      <w:r w:rsidR="005E4C08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une </w:t>
      </w:r>
      <w:r w:rsidR="00F26C2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réelle </w:t>
      </w:r>
      <w:r w:rsidR="005E4C08">
        <w:rPr>
          <w:rFonts w:ascii="Arial Narrow" w:eastAsia="Times New Roman" w:hAnsi="Arial Narrow"/>
          <w:i/>
          <w:sz w:val="24"/>
          <w:szCs w:val="24"/>
          <w:lang w:eastAsia="fr-FR"/>
        </w:rPr>
        <w:t>instance de dialogue garant</w:t>
      </w:r>
      <w:r w:rsidR="00F26C25">
        <w:rPr>
          <w:rFonts w:ascii="Arial Narrow" w:eastAsia="Times New Roman" w:hAnsi="Arial Narrow"/>
          <w:i/>
          <w:sz w:val="24"/>
          <w:szCs w:val="24"/>
          <w:lang w:eastAsia="fr-FR"/>
        </w:rPr>
        <w:t>e</w:t>
      </w:r>
      <w:r w:rsidR="005E4C08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d’une</w:t>
      </w:r>
      <w:r w:rsidR="00AA4B0D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répartition équilib</w:t>
      </w:r>
      <w:r w:rsidR="00AC206E">
        <w:rPr>
          <w:rFonts w:ascii="Arial Narrow" w:eastAsia="Times New Roman" w:hAnsi="Arial Narrow"/>
          <w:i/>
          <w:sz w:val="24"/>
          <w:szCs w:val="24"/>
          <w:lang w:eastAsia="fr-FR"/>
        </w:rPr>
        <w:t>rée</w:t>
      </w:r>
      <w:r w:rsidR="00F26C2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des établissements et services hospitaliers</w:t>
      </w:r>
      <w:r w:rsidR="00AC206E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sur le territoire ?</w:t>
      </w:r>
    </w:p>
    <w:p w:rsidR="00E016A2" w:rsidRPr="00E016A2" w:rsidRDefault="00E016A2" w:rsidP="00E016A2">
      <w:pPr>
        <w:spacing w:after="0"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</w:p>
    <w:p w:rsidR="00EE0265" w:rsidRDefault="0071646E" w:rsidP="00EE0265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  <w:r w:rsidRPr="00E016A2"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  <w:t xml:space="preserve">Médecine de ville </w:t>
      </w:r>
    </w:p>
    <w:p w:rsidR="00EE0265" w:rsidRPr="00EE0265" w:rsidRDefault="00EE0265" w:rsidP="00EE0265">
      <w:pPr>
        <w:spacing w:after="0"/>
        <w:jc w:val="both"/>
        <w:rPr>
          <w:rFonts w:ascii="Arial Narrow" w:eastAsia="Times New Roman" w:hAnsi="Arial Narrow"/>
          <w:i/>
          <w:sz w:val="24"/>
          <w:szCs w:val="24"/>
          <w:lang w:eastAsia="fr-FR"/>
        </w:rPr>
      </w:pPr>
      <w:r w:rsidRPr="00EE0265">
        <w:rPr>
          <w:rFonts w:ascii="Arial Narrow" w:eastAsia="Times New Roman" w:hAnsi="Arial Narrow"/>
          <w:i/>
          <w:sz w:val="24"/>
          <w:szCs w:val="24"/>
          <w:lang w:eastAsia="fr-FR"/>
        </w:rPr>
        <w:t>- Quelles sont les aides apportées</w:t>
      </w:r>
      <w:r w:rsidR="004D15BA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par les ARS</w:t>
      </w:r>
      <w:r w:rsidRPr="00EE026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aux collectivités locales pour prévenir et lutter contre la désertification médicale ?</w:t>
      </w:r>
    </w:p>
    <w:p w:rsidR="00EE0265" w:rsidRPr="00EE0265" w:rsidRDefault="00EE0265" w:rsidP="001D13F1">
      <w:pPr>
        <w:spacing w:after="0" w:line="240" w:lineRule="auto"/>
        <w:contextualSpacing/>
        <w:jc w:val="both"/>
        <w:rPr>
          <w:rFonts w:ascii="Arial Narrow" w:eastAsia="Times New Roman" w:hAnsi="Arial Narrow"/>
          <w:i/>
          <w:sz w:val="24"/>
          <w:szCs w:val="24"/>
          <w:lang w:eastAsia="fr-FR"/>
        </w:rPr>
      </w:pPr>
      <w:r w:rsidRPr="00EE026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- Point sur les futures </w:t>
      </w:r>
      <w:r w:rsidR="004D15BA" w:rsidRPr="004D15BA">
        <w:rPr>
          <w:rFonts w:ascii="Arial Narrow" w:eastAsia="Times New Roman" w:hAnsi="Arial Narrow"/>
          <w:i/>
          <w:sz w:val="24"/>
          <w:szCs w:val="24"/>
          <w:lang w:eastAsia="fr-FR"/>
        </w:rPr>
        <w:t>communautés professionnelles territoriales de santé</w:t>
      </w:r>
      <w:r w:rsidR="004D15BA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 </w:t>
      </w:r>
      <w:r w:rsidRPr="00EE0265">
        <w:rPr>
          <w:rFonts w:ascii="Arial Narrow" w:eastAsia="Times New Roman" w:hAnsi="Arial Narrow"/>
          <w:i/>
          <w:sz w:val="24"/>
          <w:szCs w:val="24"/>
          <w:lang w:eastAsia="fr-FR"/>
        </w:rPr>
        <w:t xml:space="preserve">et présentation de leurs liens avec les contrats locaux de santé. </w:t>
      </w:r>
    </w:p>
    <w:p w:rsidR="00AC78BA" w:rsidRPr="00142170" w:rsidRDefault="00AC78BA" w:rsidP="001D13F1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</w:p>
    <w:p w:rsidR="006424CF" w:rsidRPr="00142170" w:rsidRDefault="006424CF" w:rsidP="00142170">
      <w:pPr>
        <w:pStyle w:val="Paragraphedeliste"/>
        <w:spacing w:after="0"/>
        <w:jc w:val="both"/>
        <w:rPr>
          <w:rFonts w:ascii="Arial Narrow" w:eastAsia="Times New Roman" w:hAnsi="Arial Narrow"/>
          <w:b/>
          <w:color w:val="2E74B5" w:themeColor="accent1" w:themeShade="BF"/>
          <w:sz w:val="24"/>
          <w:szCs w:val="24"/>
          <w:lang w:eastAsia="fr-FR"/>
        </w:rPr>
      </w:pPr>
    </w:p>
    <w:p w:rsidR="00932060" w:rsidRPr="00F26C25" w:rsidRDefault="00932060" w:rsidP="0071646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</w:pPr>
      <w:r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>Questions diverses</w:t>
      </w:r>
      <w:r w:rsidR="00CE1169" w:rsidRPr="00F26C25">
        <w:rPr>
          <w:rFonts w:ascii="Arial Narrow" w:eastAsia="Times New Roman" w:hAnsi="Arial Narrow"/>
          <w:b/>
          <w:color w:val="2E74B5" w:themeColor="accent1" w:themeShade="BF"/>
          <w:sz w:val="28"/>
          <w:szCs w:val="24"/>
          <w:lang w:eastAsia="fr-FR"/>
        </w:rPr>
        <w:t> </w:t>
      </w:r>
    </w:p>
    <w:sectPr w:rsidR="00932060" w:rsidRPr="00F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E27"/>
    <w:multiLevelType w:val="hybridMultilevel"/>
    <w:tmpl w:val="4802C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373"/>
    <w:multiLevelType w:val="hybridMultilevel"/>
    <w:tmpl w:val="38B4A6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246"/>
    <w:multiLevelType w:val="hybridMultilevel"/>
    <w:tmpl w:val="5C769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39A8"/>
    <w:multiLevelType w:val="hybridMultilevel"/>
    <w:tmpl w:val="FAC04B38"/>
    <w:lvl w:ilvl="0" w:tplc="789EC0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E7DFE"/>
    <w:multiLevelType w:val="hybridMultilevel"/>
    <w:tmpl w:val="D5A23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1604"/>
    <w:multiLevelType w:val="hybridMultilevel"/>
    <w:tmpl w:val="FBA8E70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0"/>
    <w:rsid w:val="000524E7"/>
    <w:rsid w:val="00060B1A"/>
    <w:rsid w:val="00142170"/>
    <w:rsid w:val="001D13F1"/>
    <w:rsid w:val="00420C45"/>
    <w:rsid w:val="00495ECA"/>
    <w:rsid w:val="00496634"/>
    <w:rsid w:val="004D15BA"/>
    <w:rsid w:val="00501F42"/>
    <w:rsid w:val="0050590F"/>
    <w:rsid w:val="00536B27"/>
    <w:rsid w:val="00551DDC"/>
    <w:rsid w:val="005E4C08"/>
    <w:rsid w:val="00637ECB"/>
    <w:rsid w:val="006424CF"/>
    <w:rsid w:val="006A3062"/>
    <w:rsid w:val="0071646E"/>
    <w:rsid w:val="00836CD1"/>
    <w:rsid w:val="00913775"/>
    <w:rsid w:val="00932060"/>
    <w:rsid w:val="00AA4B0D"/>
    <w:rsid w:val="00AC206E"/>
    <w:rsid w:val="00AC78BA"/>
    <w:rsid w:val="00B5533C"/>
    <w:rsid w:val="00BA72A6"/>
    <w:rsid w:val="00C81020"/>
    <w:rsid w:val="00CE1169"/>
    <w:rsid w:val="00D6464C"/>
    <w:rsid w:val="00DF207A"/>
    <w:rsid w:val="00E016A2"/>
    <w:rsid w:val="00E9041F"/>
    <w:rsid w:val="00EE0265"/>
    <w:rsid w:val="00EE66CB"/>
    <w:rsid w:val="00F04CF9"/>
    <w:rsid w:val="00F26C25"/>
    <w:rsid w:val="00F90E4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60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0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C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60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0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urbain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CHEMISE Sandrine</dc:creator>
  <cp:lastModifiedBy>DANELON, Fanny (SGMCAS)</cp:lastModifiedBy>
  <cp:revision>3</cp:revision>
  <cp:lastPrinted>2019-05-23T13:55:00Z</cp:lastPrinted>
  <dcterms:created xsi:type="dcterms:W3CDTF">2019-05-29T08:36:00Z</dcterms:created>
  <dcterms:modified xsi:type="dcterms:W3CDTF">2019-05-29T08:37:00Z</dcterms:modified>
</cp:coreProperties>
</file>